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2B54" w14:textId="77777777" w:rsidR="009B5CAA" w:rsidRPr="00367F1F" w:rsidRDefault="009B5CAA" w:rsidP="0046315E">
      <w:pPr>
        <w:pStyle w:val="a6"/>
        <w:jc w:val="center"/>
        <w:rPr>
          <w:rFonts w:ascii="Tahoma" w:hAnsi="Tahoma" w:cs="Tahoma"/>
          <w:b/>
          <w:iCs/>
          <w:color w:val="0070C0"/>
          <w:sz w:val="14"/>
          <w:szCs w:val="18"/>
          <w:lang w:val="en-US" w:bidi="he-IL"/>
        </w:rPr>
      </w:pPr>
    </w:p>
    <w:p w14:paraId="4856FD99" w14:textId="77777777" w:rsidR="004976DF" w:rsidRPr="00C71317" w:rsidRDefault="00926535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4C4BA661" w14:textId="77777777" w:rsidR="00D92448" w:rsidRPr="00806A06" w:rsidRDefault="00926535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0D3AC23D" w14:textId="77777777" w:rsidR="00067BED" w:rsidRPr="000C778D" w:rsidRDefault="00926535" w:rsidP="00A229B7">
      <w:pPr>
        <w:pStyle w:val="a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2020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24D04E76" w14:textId="58F6E7E2" w:rsidR="00495B52" w:rsidRDefault="00495B52" w:rsidP="00495B52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665ECF6B" w14:textId="77777777" w:rsidR="00495B52" w:rsidRDefault="00495B52" w:rsidP="00495B52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5E4831CF" w14:textId="7874E283" w:rsidR="00495B52" w:rsidRPr="00163223" w:rsidRDefault="00495B52" w:rsidP="00495B52">
      <w:pPr>
        <w:jc w:val="both"/>
        <w:rPr>
          <w:rFonts w:ascii="Tahoma" w:hAnsi="Tahoma" w:cs="Tahoma"/>
          <w:color w:val="000000"/>
          <w:sz w:val="20"/>
          <w:szCs w:val="20"/>
          <w:rtl/>
          <w:lang w:val="en-US"/>
        </w:rPr>
      </w:pP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This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call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is also providing support for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pilot projects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for companies who wish to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pilot, scale-up 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and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adapt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their new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innovative technologies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and solutions to the Chinese market and entities’ specific needs.</w:t>
      </w:r>
    </w:p>
    <w:p w14:paraId="348E128A" w14:textId="77777777"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69CE6E18" w14:textId="77777777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14:paraId="6F6B8F6F" w14:textId="77777777" w:rsidR="0025798C" w:rsidRPr="002921CD" w:rsidRDefault="00926535" w:rsidP="0046315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have to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4AED567F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新細明體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新細明體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新細明體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aa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新細明體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aa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7F448F90" w14:textId="77777777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新細明體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aa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新細明體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aa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新細明體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r w:rsidR="007337BF" w:rsidRPr="004F137C">
        <w:rPr>
          <w:rFonts w:asciiTheme="minorHAnsi" w:eastAsia="新細明體" w:hAnsiTheme="minorHAnsi" w:cs="Segoe UI" w:hint="eastAsia"/>
          <w:sz w:val="22"/>
          <w:szCs w:val="22"/>
          <w:lang w:val="en-GB" w:eastAsia="zh-TW"/>
        </w:rPr>
        <w:t>DoIT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新細明體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aa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aa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新細明體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600ED540" w14:textId="77777777" w:rsidR="002C4CB6" w:rsidRDefault="004E79BF" w:rsidP="00367F1F">
      <w:pPr>
        <w:pStyle w:val="aa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新細明體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926535" w:rsidRPr="002E0B3C">
          <w:rPr>
            <w:rStyle w:val="a8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14:paraId="3417EC51" w14:textId="77777777" w:rsidR="0046315E" w:rsidRDefault="004E79BF" w:rsidP="00367F1F">
      <w:pPr>
        <w:pStyle w:val="aa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新細明體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a8"/>
            <w:rFonts w:asciiTheme="minorHAnsi" w:eastAsia="新細明體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新細明體" w:hAnsiTheme="minorHAnsi" w:cs="Segoe UI"/>
          <w:color w:val="000000"/>
          <w:sz w:val="22"/>
          <w:szCs w:val="22"/>
          <w:lang w:eastAsia="zh-TW"/>
        </w:rPr>
        <w:t xml:space="preserve"> </w:t>
      </w:r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aa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aa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aa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aa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a8"/>
          <w:rFonts w:eastAsia="新細明體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495B52">
          <w:rPr>
            <w:rStyle w:val="a8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aa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4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2"/>
        <w:tabs>
          <w:tab w:val="left" w:pos="1306"/>
        </w:tabs>
        <w:rPr>
          <w:rFonts w:ascii="Segoe UI" w:eastAsia="新細明體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2"/>
        <w:tabs>
          <w:tab w:val="left" w:pos="1306"/>
        </w:tabs>
        <w:rPr>
          <w:rFonts w:ascii="Segoe UI" w:eastAsia="新細明體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新細明體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lastRenderedPageBreak/>
        <w:t>Application form and the basic information form of the applicant company</w:t>
      </w:r>
      <w:r w:rsidR="004F4FAC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新細明體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新細明體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5F016431" w14:textId="77777777" w:rsidR="00EF3F1B" w:rsidRPr="00F35012" w:rsidRDefault="00926535" w:rsidP="0000690E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新細明體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新細明體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新細明體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新細明體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新細明體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2"/>
        <w:rPr>
          <w:rFonts w:ascii="Segoe UI" w:eastAsia="新細明體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25DA96DA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is required to submit the full IIA application, in accordance with </w:t>
      </w:r>
      <w:r>
        <w:rPr>
          <w:rFonts w:ascii="Tahoma" w:hAnsi="Tahoma" w:cs="Tahoma"/>
          <w:iCs/>
          <w:color w:val="000000"/>
          <w:sz w:val="20"/>
          <w:szCs w:val="20"/>
          <w:lang w:val="en-US"/>
        </w:rPr>
        <w:t>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1" w:history="1">
        <w:r>
          <w:rPr>
            <w:rStyle w:val="a8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a8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a8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2" w:history="1">
        <w:r w:rsidRPr="00C27D0E">
          <w:rPr>
            <w:rStyle w:val="a8"/>
            <w:rFonts w:ascii="Tahoma" w:hAnsi="Tahoma" w:cs="Tahoma"/>
            <w:sz w:val="20"/>
            <w:szCs w:val="20"/>
            <w:lang w:val="en-US"/>
          </w:rPr>
          <w:t>IIA’s 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5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</w:rPr>
        <w:t>DoIT/ITRI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新細明體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6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新細明體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新細明體" w:hAnsi="Segoe UI" w:cs="Segoe UI"/>
          <w:sz w:val="14"/>
          <w:szCs w:val="14"/>
          <w:lang w:eastAsia="zh-TW"/>
        </w:rPr>
      </w:pPr>
    </w:p>
    <w:tbl>
      <w:tblPr>
        <w:tblStyle w:val="ab"/>
        <w:tblW w:w="8804" w:type="dxa"/>
        <w:jc w:val="center"/>
        <w:tblLook w:val="04A0" w:firstRow="1" w:lastRow="0" w:firstColumn="1" w:lastColumn="0" w:noHBand="0" w:noVBand="1"/>
      </w:tblPr>
      <w:tblGrid>
        <w:gridCol w:w="4815"/>
        <w:gridCol w:w="2268"/>
        <w:gridCol w:w="1721"/>
      </w:tblGrid>
      <w:tr w:rsidR="004562F8" w:rsidRPr="00DB16F5" w14:paraId="719B4AEC" w14:textId="77777777" w:rsidTr="001C4062">
        <w:trPr>
          <w:jc w:val="center"/>
        </w:trPr>
        <w:tc>
          <w:tcPr>
            <w:tcW w:w="4815" w:type="dxa"/>
            <w:shd w:val="clear" w:color="auto" w:fill="C6D9F1" w:themeFill="text2" w:themeFillTint="33"/>
            <w:vAlign w:val="center"/>
          </w:tcPr>
          <w:p w14:paraId="1B407C2B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3E84C39" w14:textId="26ED2A01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Taiwan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14:paraId="51C0EEF0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Israel</w:t>
            </w:r>
          </w:p>
        </w:tc>
      </w:tr>
      <w:tr w:rsidR="004562F8" w:rsidRPr="00DB16F5" w14:paraId="1B488F41" w14:textId="77777777" w:rsidTr="001C4062">
        <w:trPr>
          <w:jc w:val="center"/>
        </w:trPr>
        <w:tc>
          <w:tcPr>
            <w:tcW w:w="4815" w:type="dxa"/>
            <w:vAlign w:val="center"/>
          </w:tcPr>
          <w:p w14:paraId="6D96227D" w14:textId="77777777" w:rsidR="004562F8" w:rsidRPr="007D5CB1" w:rsidRDefault="004562F8" w:rsidP="001C406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2268" w:type="dxa"/>
            <w:vAlign w:val="center"/>
          </w:tcPr>
          <w:p w14:paraId="33B5FED6" w14:textId="0605EB6F" w:rsidR="004562F8" w:rsidRPr="007D5CB1" w:rsidRDefault="004562F8" w:rsidP="00CE6B3D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05/05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/2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02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</w:t>
            </w:r>
          </w:p>
        </w:tc>
        <w:tc>
          <w:tcPr>
            <w:tcW w:w="1721" w:type="dxa"/>
            <w:vAlign w:val="center"/>
          </w:tcPr>
          <w:p w14:paraId="67FE2118" w14:textId="3BD2A273" w:rsidR="004562F8" w:rsidRPr="007D5CB1" w:rsidRDefault="004562F8" w:rsidP="00CE6B3D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06/07/2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02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</w:t>
            </w:r>
          </w:p>
        </w:tc>
      </w:tr>
      <w:tr w:rsidR="004562F8" w:rsidRPr="00DB16F5" w14:paraId="207DC89B" w14:textId="77777777" w:rsidTr="001C4062">
        <w:trPr>
          <w:jc w:val="center"/>
        </w:trPr>
        <w:tc>
          <w:tcPr>
            <w:tcW w:w="4815" w:type="dxa"/>
            <w:vAlign w:val="center"/>
          </w:tcPr>
          <w:p w14:paraId="49AC7BEA" w14:textId="701E7CB3" w:rsidR="004562F8" w:rsidRPr="007D5CB1" w:rsidRDefault="00C27D0E" w:rsidP="001C406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="004562F8"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 w:rsidR="004562F8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2268" w:type="dxa"/>
            <w:vAlign w:val="center"/>
          </w:tcPr>
          <w:p w14:paraId="791AAEE6" w14:textId="56487C3A" w:rsidR="004562F8" w:rsidRPr="007D5CB1" w:rsidRDefault="00F75A30" w:rsidP="00CE6B3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02--09/12</w:t>
            </w:r>
            <w:r w:rsidR="004562F8"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/20</w:t>
            </w:r>
            <w:r w:rsidR="004562F8"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</w:p>
        </w:tc>
        <w:tc>
          <w:tcPr>
            <w:tcW w:w="1721" w:type="dxa"/>
            <w:vAlign w:val="center"/>
          </w:tcPr>
          <w:p w14:paraId="0FB4A72B" w14:textId="4662FB8E" w:rsidR="004562F8" w:rsidRPr="007D5CB1" w:rsidRDefault="00C27D0E" w:rsidP="00CE6B3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09/12/</w:t>
            </w:r>
            <w:r w:rsidR="004562F8"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  <w:r w:rsidR="004562F8"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</w:p>
        </w:tc>
      </w:tr>
      <w:tr w:rsidR="004562F8" w:rsidRPr="00DB16F5" w14:paraId="12DA6A26" w14:textId="77777777" w:rsidTr="001C406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4562F8" w:rsidRPr="007D5CB1" w:rsidRDefault="004562F8" w:rsidP="001C406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77777777" w:rsidR="004562F8" w:rsidRPr="007D5CB1" w:rsidRDefault="004562F8" w:rsidP="004562F8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February-March 2021</w:t>
            </w:r>
          </w:p>
        </w:tc>
        <w:bookmarkStart w:id="4" w:name="_GoBack"/>
        <w:bookmarkEnd w:id="4"/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新細明體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新細明體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7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Default="008C29B0" w:rsidP="0046315E">
      <w:pPr>
        <w:rPr>
          <w:rFonts w:ascii="Segoe UI" w:eastAsia="新細明體" w:hAnsi="Segoe UI" w:cs="Segoe UI"/>
          <w:sz w:val="14"/>
          <w:szCs w:val="14"/>
          <w:lang w:eastAsia="zh-TW"/>
        </w:rPr>
      </w:pPr>
    </w:p>
    <w:p w14:paraId="3A0BDE94" w14:textId="77777777" w:rsidR="00292E22" w:rsidRPr="007B3911" w:rsidRDefault="00292E22" w:rsidP="0046315E">
      <w:pPr>
        <w:rPr>
          <w:rFonts w:ascii="Segoe UI" w:hAnsi="Segoe UI" w:cs="Segoe UI"/>
          <w:sz w:val="12"/>
          <w:szCs w:val="12"/>
        </w:rPr>
      </w:pPr>
    </w:p>
    <w:p w14:paraId="2BC53ED7" w14:textId="77777777" w:rsidR="00F9186B" w:rsidRPr="008F2501" w:rsidRDefault="00926535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96E5" wp14:editId="6991BDE5">
                <wp:simplePos x="0" y="0"/>
                <wp:positionH relativeFrom="column">
                  <wp:posOffset>-57785</wp:posOffset>
                </wp:positionH>
                <wp:positionV relativeFrom="paragraph">
                  <wp:posOffset>38100</wp:posOffset>
                </wp:positionV>
                <wp:extent cx="2828925" cy="139065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840C" w14:textId="77777777" w:rsidR="00744908" w:rsidRPr="0071291E" w:rsidRDefault="00926535" w:rsidP="00D3749B">
                            <w:pPr>
                              <w:pStyle w:val="a9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3B3B720A" w14:textId="5E629DCC" w:rsidR="00744908" w:rsidRPr="009B5CAA" w:rsidRDefault="00926535" w:rsidP="00D3749B">
                            <w:pPr>
                              <w:pStyle w:val="a9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 w:rsidR="00C92E1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Adi Maller</w:t>
                            </w:r>
                          </w:p>
                          <w:p w14:paraId="7292AD84" w14:textId="77777777" w:rsidR="00744908" w:rsidRPr="0071291E" w:rsidRDefault="00926535" w:rsidP="002921CD">
                            <w:pPr>
                              <w:pStyle w:val="a9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14:paraId="00179087" w14:textId="77777777" w:rsidR="00744908" w:rsidRPr="0071291E" w:rsidRDefault="00926535" w:rsidP="00D3749B">
                            <w:pPr>
                              <w:pStyle w:val="a9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14:paraId="3E27A96D" w14:textId="4D3AF2AD" w:rsidR="00744908" w:rsidRDefault="00926535" w:rsidP="0000690E">
                            <w:pPr>
                              <w:pStyle w:val="a9"/>
                              <w:shd w:val="clear" w:color="auto" w:fill="D9D9D9" w:themeFill="background1" w:themeFillShade="D9"/>
                              <w:rPr>
                                <w:rStyle w:val="a8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Email:</w:t>
                            </w:r>
                            <w:r w:rsidR="005B04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hyperlink r:id="rId13" w:history="1">
                              <w:r w:rsidR="00C92E10" w:rsidRPr="00F75361">
                                <w:rPr>
                                  <w:rStyle w:val="a8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APAC@innovationisrael.org.il</w:t>
                              </w:r>
                            </w:hyperlink>
                          </w:p>
                          <w:p w14:paraId="129B8BE6" w14:textId="77777777" w:rsidR="00CA14F3" w:rsidRPr="0071291E" w:rsidRDefault="00CA14F3" w:rsidP="00D3749B">
                            <w:pPr>
                              <w:pStyle w:val="a9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pt;width:222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">
                <v:textbox>
                  <w:txbxContent>
                    <w:p w14:paraId="0DA9840C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3B3B720A" w14:textId="5E629DCC" w:rsidR="00744908" w:rsidRPr="009B5CAA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 w:rsidR="00C92E10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>Adi Maller</w:t>
                      </w:r>
                    </w:p>
                    <w:p w14:paraId="7292AD84" w14:textId="77777777" w:rsidR="00744908" w:rsidRPr="0071291E" w:rsidRDefault="00926535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14:paraId="00179087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Authority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3E27A96D" w14:textId="4D3AF2AD" w:rsidR="00744908" w:rsidRDefault="00926535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Email:</w:t>
                      </w:r>
                      <w:r w:rsidR="005B04ED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hyperlink r:id="rId14" w:history="1">
                        <w:r w:rsidR="00C92E10" w:rsidRPr="00F75361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APAC@innovationisrael.org.il</w:t>
                        </w:r>
                      </w:hyperlink>
                    </w:p>
                    <w:p w14:paraId="129B8BE6" w14:textId="77777777"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587" wp14:editId="7F8DEEC4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A147" w14:textId="77777777" w:rsidR="00744908" w:rsidRPr="00A229B7" w:rsidRDefault="00926535" w:rsidP="00D3749B">
                            <w:pPr>
                              <w:pStyle w:val="a9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14:paraId="5F82EABF" w14:textId="77777777" w:rsidR="00744908" w:rsidRPr="00CA14F3" w:rsidRDefault="00926535" w:rsidP="002921CD">
                            <w:pPr>
                              <w:pStyle w:val="af3"/>
                              <w:shd w:val="clear" w:color="auto" w:fill="D9D9D9" w:themeFill="background1" w:themeFillShade="D9"/>
                              <w:rPr>
                                <w:rFonts w:ascii="Calibri" w:eastAsia="新細明體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新細明體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新細明體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新細明體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新細明體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新細明體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14:paraId="3C7485F1" w14:textId="77777777" w:rsidR="00331CB3" w:rsidRDefault="00926535" w:rsidP="00D3749B">
                            <w:pPr>
                              <w:pStyle w:val="af3"/>
                              <w:shd w:val="clear" w:color="auto" w:fill="D9D9D9" w:themeFill="background1" w:themeFillShade="D9"/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14:paraId="5D433F3F" w14:textId="77777777" w:rsidR="00331CB3" w:rsidRPr="00E80019" w:rsidRDefault="00926535" w:rsidP="002921CD">
                            <w:pPr>
                              <w:pStyle w:val="af3"/>
                              <w:shd w:val="clear" w:color="auto" w:fill="D9D9D9" w:themeFill="background1" w:themeFillShade="D9"/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77DE45C6" w14:textId="77777777" w:rsidR="00331CB3" w:rsidRPr="00E80019" w:rsidRDefault="00926535" w:rsidP="002921CD">
                            <w:pPr>
                              <w:pStyle w:val="af3"/>
                              <w:shd w:val="clear" w:color="auto" w:fill="D9D9D9" w:themeFill="background1" w:themeFillShade="D9"/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新細明體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14:paraId="2527C0BB" w14:textId="77777777" w:rsidR="00A229B7" w:rsidRDefault="00926535" w:rsidP="00D3749B">
                            <w:pPr>
                              <w:pStyle w:val="af3"/>
                              <w:shd w:val="clear" w:color="auto" w:fill="D9D9D9" w:themeFill="background1" w:themeFillShade="D9"/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新細明體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5" w:history="1">
                              <w:r w:rsidR="002921CD" w:rsidRPr="00F1772B">
                                <w:rPr>
                                  <w:rStyle w:val="a8"/>
                                  <w:rFonts w:ascii="Calibri" w:eastAsia="新細明體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新細明體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01198CE5" w14:textId="77777777" w:rsidR="002921CD" w:rsidRPr="002921CD" w:rsidRDefault="002921CD" w:rsidP="00D3749B">
                            <w:pPr>
                              <w:pStyle w:val="af3"/>
                              <w:shd w:val="clear" w:color="auto" w:fill="D9D9D9" w:themeFill="background1" w:themeFillShade="D9"/>
                              <w:rPr>
                                <w:rFonts w:ascii="Calibri" w:eastAsia="新細明體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14:paraId="4C3EE131" w14:textId="77777777" w:rsidR="00744908" w:rsidRPr="00AB64F7" w:rsidRDefault="00744908" w:rsidP="008A7DCF">
                            <w:pPr>
                              <w:jc w:val="center"/>
                              <w:rPr>
                                <w:rStyle w:val="a8"/>
                                <w:rFonts w:cs="Calibri"/>
                                <w:lang w:val="fr-CA" w:eastAsia="en-US"/>
                              </w:rPr>
                            </w:pPr>
                          </w:p>
                          <w:p w14:paraId="2351F0E4" w14:textId="77777777"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99322D6" w14:textId="77777777" w:rsidR="00744908" w:rsidRPr="00B3582C" w:rsidRDefault="00744908" w:rsidP="008A7DCF">
                            <w:pPr>
                              <w:pStyle w:val="a9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2EF587" id="Text Box 19" o:spid="_x0000_s1027" type="#_x0000_t202" style="position:absolute;margin-left:231.7pt;margin-top:3.5pt;width:230.2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">
                <v:textbox>
                  <w:txbxContent>
                    <w:p w14:paraId="22C7A147" w14:textId="77777777" w:rsidR="00744908" w:rsidRPr="00A229B7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14:paraId="5F82EABF" w14:textId="77777777" w:rsidR="00744908" w:rsidRPr="00CA14F3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14:paraId="3C7485F1" w14:textId="77777777" w:rsidR="00331CB3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14:paraId="5D433F3F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ITRI International Ce</w:t>
                      </w:r>
                      <w:bookmarkStart w:id="5" w:name="_GoBack"/>
                      <w:bookmarkEnd w:id="5"/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77DE45C6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14:paraId="2527C0BB" w14:textId="77777777" w:rsidR="00A229B7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6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01198CE5" w14:textId="77777777"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14:paraId="4C3EE131" w14:textId="77777777"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14:paraId="2351F0E4" w14:textId="77777777"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199322D6" w14:textId="77777777"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9CD09" w14:textId="77777777" w:rsidR="004E79BF" w:rsidRDefault="004E79BF">
      <w:r>
        <w:separator/>
      </w:r>
    </w:p>
  </w:endnote>
  <w:endnote w:type="continuationSeparator" w:id="0">
    <w:p w14:paraId="32ACFC48" w14:textId="77777777" w:rsidR="004E79BF" w:rsidRDefault="004E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6189" w14:textId="77777777" w:rsidR="00744908" w:rsidRDefault="00926535" w:rsidP="009E40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83795F" w14:textId="77777777" w:rsidR="00744908" w:rsidRDefault="0074490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ADB3" w14:textId="77777777" w:rsidR="00744908" w:rsidRDefault="00926535">
    <w:pPr>
      <w:pStyle w:val="a3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3E19A92A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379323D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454C76A4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F38B6" w14:textId="77777777" w:rsidR="00744908" w:rsidRPr="0071291E" w:rsidRDefault="00926535" w:rsidP="004976DF">
    <w:pPr>
      <w:pStyle w:val="a3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76E78" w14:textId="77777777" w:rsidR="004E79BF" w:rsidRDefault="004E79BF">
      <w:r>
        <w:separator/>
      </w:r>
    </w:p>
  </w:footnote>
  <w:footnote w:type="continuationSeparator" w:id="0">
    <w:p w14:paraId="2672BBFB" w14:textId="77777777" w:rsidR="004E79BF" w:rsidRDefault="004E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53ED" w14:textId="77777777" w:rsidR="00744908" w:rsidRPr="00806A06" w:rsidRDefault="00926535" w:rsidP="00806A06">
    <w:pPr>
      <w:pStyle w:val="a6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01640AAA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0A17736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4" o:spid="_x0000_s2049" style="width:525.75pt;height:795pt;margin-top:-10.7pt;margin-left:-3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243f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71AB" w14:textId="77777777" w:rsidR="00744908" w:rsidRPr="00806A06" w:rsidRDefault="00926535" w:rsidP="00806A06">
    <w:pPr>
      <w:pStyle w:val="a6"/>
      <w:jc w:val="center"/>
    </w:pPr>
    <w:r>
      <w:rPr>
        <w:noProof/>
        <w:lang w:val="en-US" w:eastAsia="zh-TW"/>
      </w:rPr>
      <w:drawing>
        <wp:inline distT="0" distB="0" distL="0" distR="0" wp14:anchorId="21704D5E" wp14:editId="6C54D62E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IN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gUAmY+E3i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7DCF"/>
    <w:pPr>
      <w:tabs>
        <w:tab w:val="center" w:pos="4153"/>
        <w:tab w:val="right" w:pos="8306"/>
      </w:tabs>
    </w:pPr>
  </w:style>
  <w:style w:type="character" w:customStyle="1" w:styleId="a4">
    <w:name w:val="頁尾 字元"/>
    <w:link w:val="a3"/>
    <w:locked/>
    <w:rsid w:val="008A7DCF"/>
    <w:rPr>
      <w:sz w:val="24"/>
      <w:szCs w:val="24"/>
      <w:lang w:val="en-IN" w:eastAsia="en-IN" w:bidi="ar-SA"/>
    </w:rPr>
  </w:style>
  <w:style w:type="character" w:styleId="a5">
    <w:name w:val="page number"/>
    <w:rsid w:val="008A7DCF"/>
    <w:rPr>
      <w:rFonts w:cs="Times New Roman"/>
    </w:rPr>
  </w:style>
  <w:style w:type="paragraph" w:styleId="2">
    <w:name w:val="Body Text 2"/>
    <w:basedOn w:val="a"/>
    <w:link w:val="20"/>
    <w:rsid w:val="008A7DCF"/>
    <w:pPr>
      <w:spacing w:before="120"/>
      <w:jc w:val="both"/>
    </w:pPr>
    <w:rPr>
      <w:lang w:val="en-GB" w:eastAsia="en-US"/>
    </w:rPr>
  </w:style>
  <w:style w:type="character" w:customStyle="1" w:styleId="20">
    <w:name w:val="本文 2 字元"/>
    <w:link w:val="2"/>
    <w:locked/>
    <w:rsid w:val="008A7DCF"/>
    <w:rPr>
      <w:sz w:val="24"/>
      <w:szCs w:val="24"/>
      <w:lang w:val="en-GB" w:eastAsia="en-US" w:bidi="ar-SA"/>
    </w:rPr>
  </w:style>
  <w:style w:type="paragraph" w:styleId="a6">
    <w:name w:val="header"/>
    <w:basedOn w:val="a"/>
    <w:link w:val="a7"/>
    <w:rsid w:val="008A7DCF"/>
    <w:pPr>
      <w:tabs>
        <w:tab w:val="center" w:pos="4153"/>
        <w:tab w:val="right" w:pos="8306"/>
      </w:tabs>
    </w:pPr>
  </w:style>
  <w:style w:type="character" w:customStyle="1" w:styleId="a7">
    <w:name w:val="頁首 字元"/>
    <w:link w:val="a6"/>
    <w:locked/>
    <w:rsid w:val="008A7DCF"/>
    <w:rPr>
      <w:sz w:val="24"/>
      <w:szCs w:val="24"/>
      <w:lang w:val="en-IN" w:eastAsia="en-IN" w:bidi="ar-SA"/>
    </w:rPr>
  </w:style>
  <w:style w:type="character" w:styleId="a8">
    <w:name w:val="Hyperlink"/>
    <w:uiPriority w:val="99"/>
    <w:rsid w:val="008A7DCF"/>
    <w:rPr>
      <w:rFonts w:cs="Times New Roman"/>
      <w:color w:val="0000FF"/>
      <w:u w:val="single"/>
    </w:rPr>
  </w:style>
  <w:style w:type="paragraph" w:styleId="a9">
    <w:name w:val="No Spacing"/>
    <w:qFormat/>
    <w:rsid w:val="008A7DCF"/>
    <w:rPr>
      <w:lang w:val="en-CA" w:eastAsia="en-US"/>
    </w:rPr>
  </w:style>
  <w:style w:type="paragraph" w:styleId="aa">
    <w:name w:val="List Paragraph"/>
    <w:basedOn w:val="a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ab">
    <w:name w:val="Table Grid"/>
    <w:basedOn w:val="a1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E0265C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ae">
    <w:name w:val="annotation reference"/>
    <w:rsid w:val="00F71D78"/>
    <w:rPr>
      <w:sz w:val="16"/>
      <w:szCs w:val="16"/>
    </w:rPr>
  </w:style>
  <w:style w:type="paragraph" w:styleId="af">
    <w:name w:val="annotation text"/>
    <w:basedOn w:val="a"/>
    <w:link w:val="af0"/>
    <w:rsid w:val="00F71D78"/>
    <w:rPr>
      <w:sz w:val="20"/>
      <w:szCs w:val="20"/>
    </w:rPr>
  </w:style>
  <w:style w:type="character" w:customStyle="1" w:styleId="af0">
    <w:name w:val="註解文字 字元"/>
    <w:link w:val="af"/>
    <w:rsid w:val="00F71D78"/>
    <w:rPr>
      <w:lang w:val="en-IN" w:eastAsia="en-IN" w:bidi="ar-SA"/>
    </w:rPr>
  </w:style>
  <w:style w:type="paragraph" w:styleId="af1">
    <w:name w:val="annotation subject"/>
    <w:basedOn w:val="af"/>
    <w:next w:val="af"/>
    <w:link w:val="af2"/>
    <w:rsid w:val="00F71D78"/>
    <w:rPr>
      <w:b/>
      <w:bCs/>
    </w:rPr>
  </w:style>
  <w:style w:type="character" w:customStyle="1" w:styleId="af2">
    <w:name w:val="註解主旨 字元"/>
    <w:link w:val="af1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Web">
    <w:name w:val="Normal (Web)"/>
    <w:basedOn w:val="a"/>
    <w:uiPriority w:val="99"/>
    <w:unhideWhenUsed/>
    <w:rsid w:val="00D92448"/>
    <w:rPr>
      <w:lang w:val="en-US" w:eastAsia="en-US" w:bidi="he-IL"/>
    </w:rPr>
  </w:style>
  <w:style w:type="paragraph" w:styleId="af3">
    <w:name w:val="Plain Text"/>
    <w:basedOn w:val="a"/>
    <w:link w:val="af4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af4">
    <w:name w:val="純文字 字元"/>
    <w:basedOn w:val="a0"/>
    <w:link w:val="af3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af5">
    <w:name w:val="Revision"/>
    <w:hidden/>
    <w:uiPriority w:val="99"/>
    <w:semiHidden/>
    <w:rsid w:val="008A36A0"/>
    <w:rPr>
      <w:sz w:val="24"/>
      <w:szCs w:val="24"/>
    </w:rPr>
  </w:style>
  <w:style w:type="character" w:styleId="af6">
    <w:name w:val="FollowedHyperlink"/>
    <w:basedOn w:val="a0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9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hyperlink" Target="mailto:APAC@innovationisrael.org.i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thanting@itri.org.t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hanting@itri.org.t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novationisrael.org.il/international/rnd/bilatera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hyperlink" Target="mailto:APAC@innovationisrael.org.i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8D07-C844-4BDB-A391-0680DF68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Administrator</cp:lastModifiedBy>
  <cp:revision>4</cp:revision>
  <dcterms:created xsi:type="dcterms:W3CDTF">2020-09-22T10:24:00Z</dcterms:created>
  <dcterms:modified xsi:type="dcterms:W3CDTF">2020-09-28T03:33:00Z</dcterms:modified>
</cp:coreProperties>
</file>